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63FB" w:rsidRDefault="002627DC" w:rsidP="00983B55">
      <w:pPr>
        <w:rPr>
          <w:rFonts w:ascii="ＭＳ 明朝" w:eastAsia="ＭＳ 明朝" w:hAnsi="ＭＳ 明朝"/>
        </w:rPr>
      </w:pPr>
      <w:r>
        <w:rPr>
          <w:rFonts w:ascii="ＭＳ 明朝" w:eastAsia="ＭＳ 明朝" w:hAnsi="ＭＳ 明朝" w:hint="eastAsia"/>
        </w:rPr>
        <w:t>令和６年度　教科用図書　採択結果・採択理由</w:t>
      </w:r>
      <w:bookmarkStart w:id="0" w:name="_GoBack"/>
      <w:bookmarkEnd w:id="0"/>
    </w:p>
    <w:p w:rsidR="009E63FB" w:rsidRDefault="009E63FB" w:rsidP="009E63FB">
      <w:pPr>
        <w:jc w:val="right"/>
        <w:rPr>
          <w:rFonts w:ascii="ＭＳ 明朝" w:eastAsia="ＭＳ 明朝" w:hAnsi="ＭＳ 明朝"/>
        </w:rPr>
      </w:pPr>
      <w:r>
        <w:rPr>
          <w:rFonts w:ascii="ＭＳ 明朝" w:eastAsia="ＭＳ 明朝" w:hAnsi="ＭＳ 明朝" w:hint="eastAsia"/>
        </w:rPr>
        <w:t>奈良教育大学附属小学校</w:t>
      </w:r>
    </w:p>
    <w:p w:rsidR="009E63FB" w:rsidRDefault="009E63FB" w:rsidP="00983B55">
      <w:pPr>
        <w:wordWrap w:val="0"/>
        <w:jc w:val="right"/>
        <w:rPr>
          <w:rFonts w:ascii="ＭＳ 明朝" w:eastAsia="ＭＳ 明朝" w:hAnsi="ＭＳ 明朝"/>
        </w:rPr>
      </w:pPr>
    </w:p>
    <w:tbl>
      <w:tblPr>
        <w:tblStyle w:val="a7"/>
        <w:tblW w:w="0" w:type="auto"/>
        <w:tblLook w:val="04A0" w:firstRow="1" w:lastRow="0" w:firstColumn="1" w:lastColumn="0" w:noHBand="0" w:noVBand="1"/>
      </w:tblPr>
      <w:tblGrid>
        <w:gridCol w:w="817"/>
        <w:gridCol w:w="1559"/>
        <w:gridCol w:w="7478"/>
      </w:tblGrid>
      <w:tr w:rsidR="00983B55" w:rsidTr="00983B55">
        <w:tc>
          <w:tcPr>
            <w:tcW w:w="817" w:type="dxa"/>
          </w:tcPr>
          <w:p w:rsidR="00983B55" w:rsidRPr="00983B55" w:rsidRDefault="00983B55" w:rsidP="00144A58">
            <w:pPr>
              <w:rPr>
                <w:sz w:val="18"/>
                <w:szCs w:val="18"/>
              </w:rPr>
            </w:pPr>
            <w:r w:rsidRPr="00983B55">
              <w:rPr>
                <w:rFonts w:hint="eastAsia"/>
                <w:sz w:val="18"/>
                <w:szCs w:val="18"/>
              </w:rPr>
              <w:t>教科等</w:t>
            </w:r>
          </w:p>
        </w:tc>
        <w:tc>
          <w:tcPr>
            <w:tcW w:w="1559" w:type="dxa"/>
          </w:tcPr>
          <w:p w:rsidR="00983B55" w:rsidRPr="00983B55" w:rsidRDefault="00983B55" w:rsidP="00144A58">
            <w:pPr>
              <w:rPr>
                <w:sz w:val="18"/>
                <w:szCs w:val="18"/>
              </w:rPr>
            </w:pPr>
            <w:r w:rsidRPr="00983B55">
              <w:rPr>
                <w:rFonts w:hint="eastAsia"/>
                <w:sz w:val="18"/>
                <w:szCs w:val="18"/>
              </w:rPr>
              <w:t>採択した発行者</w:t>
            </w:r>
          </w:p>
        </w:tc>
        <w:tc>
          <w:tcPr>
            <w:tcW w:w="7478" w:type="dxa"/>
          </w:tcPr>
          <w:p w:rsidR="00983B55" w:rsidRDefault="00983B55" w:rsidP="00144A58">
            <w:pPr>
              <w:jc w:val="center"/>
            </w:pPr>
            <w:r>
              <w:rPr>
                <w:rFonts w:hint="eastAsia"/>
              </w:rPr>
              <w:t>採択理由</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t>国語</w:t>
            </w:r>
          </w:p>
        </w:tc>
        <w:tc>
          <w:tcPr>
            <w:tcW w:w="1559" w:type="dxa"/>
          </w:tcPr>
          <w:p w:rsidR="00983B55" w:rsidRDefault="00983B55" w:rsidP="00983B55">
            <w:pPr>
              <w:jc w:val="left"/>
            </w:pPr>
            <w:r w:rsidRPr="006C1939">
              <w:rPr>
                <w:rFonts w:ascii="ＭＳ ゴシック" w:eastAsia="ＭＳ ゴシック" w:hAnsi="ＭＳ ゴシック" w:hint="eastAsia"/>
              </w:rPr>
              <w:t>教育出版</w:t>
            </w:r>
          </w:p>
        </w:tc>
        <w:tc>
          <w:tcPr>
            <w:tcW w:w="7478" w:type="dxa"/>
          </w:tcPr>
          <w:p w:rsidR="00983B55" w:rsidRPr="00983B55" w:rsidRDefault="00983B55" w:rsidP="00983B55">
            <w:pPr>
              <w:jc w:val="left"/>
            </w:pPr>
            <w:r w:rsidRPr="00983B55">
              <w:rPr>
                <w:rFonts w:hint="eastAsia"/>
              </w:rPr>
              <w:t>入門期の文字指導（ひらがな・かたかな）において、画数の少ない字から始まるなど、多様な児童が自由に発言しながら負担なく学べるつくりになっている。また、話すことや聞くことに比べて授業だからこそ保障できる「読むこと」の配当ページ数が多く、成長・発達にはたらきかける価値ある読み物教材が多く編集されている。</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t>書写</w:t>
            </w:r>
          </w:p>
        </w:tc>
        <w:tc>
          <w:tcPr>
            <w:tcW w:w="1559" w:type="dxa"/>
          </w:tcPr>
          <w:p w:rsidR="00983B55" w:rsidRDefault="00983B55" w:rsidP="00983B55">
            <w:pPr>
              <w:jc w:val="left"/>
            </w:pPr>
            <w:r w:rsidRPr="006C1939">
              <w:rPr>
                <w:rFonts w:ascii="ＭＳ ゴシック" w:eastAsia="ＭＳ ゴシック" w:hAnsi="ＭＳ ゴシック" w:hint="eastAsia"/>
              </w:rPr>
              <w:t>教育出版</w:t>
            </w:r>
          </w:p>
        </w:tc>
        <w:tc>
          <w:tcPr>
            <w:tcW w:w="7478" w:type="dxa"/>
          </w:tcPr>
          <w:p w:rsidR="00983B55" w:rsidRPr="00983B55" w:rsidRDefault="00983B55" w:rsidP="00983B55">
            <w:pPr>
              <w:rPr>
                <w:rFonts w:ascii="ＭＳ 明朝" w:eastAsia="ＭＳ 明朝" w:hAnsi="ＭＳ 明朝"/>
              </w:rPr>
            </w:pPr>
            <w:r>
              <w:rPr>
                <w:rFonts w:ascii="ＭＳ 明朝" w:eastAsia="ＭＳ 明朝" w:hAnsi="ＭＳ 明朝" w:hint="eastAsia"/>
              </w:rPr>
              <w:t>硬筆と毛筆のページ数がバランスよく配</w:t>
            </w:r>
            <w:r w:rsidRPr="0027556B">
              <w:rPr>
                <w:rFonts w:ascii="ＭＳ 明朝" w:eastAsia="ＭＳ 明朝" w:hAnsi="ＭＳ 明朝" w:hint="eastAsia"/>
              </w:rPr>
              <w:t>当されている。また、日常で使う文字が多く載っているため、児童にとって筆順や字形を学びやすい。</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t>社会</w:t>
            </w:r>
          </w:p>
        </w:tc>
        <w:tc>
          <w:tcPr>
            <w:tcW w:w="1559" w:type="dxa"/>
          </w:tcPr>
          <w:p w:rsidR="00983B55" w:rsidRDefault="00983B55" w:rsidP="00983B55">
            <w:pPr>
              <w:jc w:val="left"/>
            </w:pPr>
            <w:r w:rsidRPr="006C1939">
              <w:rPr>
                <w:rFonts w:ascii="ＭＳ ゴシック" w:eastAsia="ＭＳ ゴシック" w:hAnsi="ＭＳ ゴシック" w:hint="eastAsia"/>
              </w:rPr>
              <w:t>日本文教出版</w:t>
            </w:r>
          </w:p>
        </w:tc>
        <w:tc>
          <w:tcPr>
            <w:tcW w:w="7478" w:type="dxa"/>
          </w:tcPr>
          <w:p w:rsidR="00983B55" w:rsidRDefault="00983B55" w:rsidP="00983B55">
            <w:pPr>
              <w:jc w:val="left"/>
            </w:pPr>
            <w:r>
              <w:rPr>
                <w:rFonts w:ascii="ＭＳ 明朝" w:eastAsia="ＭＳ 明朝" w:hAnsi="ＭＳ 明朝" w:hint="eastAsia"/>
              </w:rPr>
              <w:t>様々な視点からの記述・資料があり（特に戦争や平和に関わる点、</w:t>
            </w:r>
            <w:r w:rsidRPr="0027556B">
              <w:rPr>
                <w:rFonts w:ascii="ＭＳ 明朝" w:eastAsia="ＭＳ 明朝" w:hAnsi="ＭＳ 明朝" w:hint="eastAsia"/>
              </w:rPr>
              <w:t>ＳＤＧｓの視点を</w:t>
            </w:r>
            <w:r>
              <w:rPr>
                <w:rFonts w:ascii="ＭＳ 明朝" w:eastAsia="ＭＳ 明朝" w:hAnsi="ＭＳ 明朝" w:hint="eastAsia"/>
              </w:rPr>
              <w:t>重視）、社会のしくみや課題を連続的・多角的に児童に知らせることができる。</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t>地図帳</w:t>
            </w:r>
          </w:p>
        </w:tc>
        <w:tc>
          <w:tcPr>
            <w:tcW w:w="1559" w:type="dxa"/>
          </w:tcPr>
          <w:p w:rsidR="00983B55" w:rsidRDefault="00983B55" w:rsidP="00983B55">
            <w:pPr>
              <w:jc w:val="left"/>
            </w:pPr>
            <w:r w:rsidRPr="006C1939">
              <w:rPr>
                <w:rFonts w:ascii="ＭＳ ゴシック" w:eastAsia="ＭＳ ゴシック" w:hAnsi="ＭＳ ゴシック" w:hint="eastAsia"/>
              </w:rPr>
              <w:t>東京書籍</w:t>
            </w:r>
          </w:p>
        </w:tc>
        <w:tc>
          <w:tcPr>
            <w:tcW w:w="7478" w:type="dxa"/>
          </w:tcPr>
          <w:p w:rsidR="00983B55" w:rsidRDefault="00983B55" w:rsidP="00983B55">
            <w:pPr>
              <w:jc w:val="left"/>
            </w:pPr>
            <w:r>
              <w:rPr>
                <w:rFonts w:ascii="ＭＳ 明朝" w:eastAsia="ＭＳ 明朝" w:hAnsi="ＭＳ 明朝" w:hint="eastAsia"/>
              </w:rPr>
              <w:t>後半の資料が多く、イラストや写真の大きさが見やすくわかりやすい。多様な国のことばに触れるつくりになっている他、本校で見学に行く水産業についての資料も詳しい。</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t>算数</w:t>
            </w:r>
          </w:p>
        </w:tc>
        <w:tc>
          <w:tcPr>
            <w:tcW w:w="1559" w:type="dxa"/>
          </w:tcPr>
          <w:p w:rsidR="00983B55" w:rsidRDefault="00983B55" w:rsidP="00983B55">
            <w:pPr>
              <w:jc w:val="left"/>
            </w:pPr>
            <w:r w:rsidRPr="006C1939">
              <w:rPr>
                <w:rFonts w:ascii="ＭＳ ゴシック" w:eastAsia="ＭＳ ゴシック" w:hAnsi="ＭＳ ゴシック" w:hint="eastAsia"/>
              </w:rPr>
              <w:t>学校図書</w:t>
            </w:r>
          </w:p>
        </w:tc>
        <w:tc>
          <w:tcPr>
            <w:tcW w:w="7478" w:type="dxa"/>
          </w:tcPr>
          <w:p w:rsidR="00983B55" w:rsidRDefault="00983B55" w:rsidP="00983B55">
            <w:pPr>
              <w:jc w:val="left"/>
            </w:pPr>
            <w:r>
              <w:rPr>
                <w:rFonts w:ascii="ＭＳ 明朝" w:eastAsia="ＭＳ 明朝" w:hAnsi="ＭＳ 明朝" w:hint="eastAsia"/>
              </w:rPr>
              <w:t>計算をブロック図で説明するなど単なる暗記にならないような工夫がなされており、児童が数値の意味を意識し、思考しながら数認識を形成しやすいようなつくりになっている。考え方が複数紹介されており、児童の考え方や指導の幅が広げやすい編集である。全学年にプログラミング的思考に関する内容が設けられ、ＳＤＧｓとの関連も示されている。</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t>理科</w:t>
            </w:r>
          </w:p>
        </w:tc>
        <w:tc>
          <w:tcPr>
            <w:tcW w:w="1559" w:type="dxa"/>
          </w:tcPr>
          <w:p w:rsidR="00983B55" w:rsidRDefault="00983B55" w:rsidP="00983B55">
            <w:pPr>
              <w:jc w:val="left"/>
            </w:pPr>
            <w:r w:rsidRPr="006C1939">
              <w:rPr>
                <w:rFonts w:ascii="ＭＳ ゴシック" w:eastAsia="ＭＳ ゴシック" w:hAnsi="ＭＳ ゴシック" w:hint="eastAsia"/>
              </w:rPr>
              <w:t>大日本図書</w:t>
            </w:r>
          </w:p>
        </w:tc>
        <w:tc>
          <w:tcPr>
            <w:tcW w:w="7478" w:type="dxa"/>
          </w:tcPr>
          <w:p w:rsidR="00983B55" w:rsidRDefault="00983B55" w:rsidP="00983B55">
            <w:pPr>
              <w:jc w:val="left"/>
            </w:pPr>
            <w:r>
              <w:rPr>
                <w:rFonts w:ascii="ＭＳ 明朝" w:eastAsia="ＭＳ 明朝" w:hAnsi="ＭＳ 明朝" w:hint="eastAsia"/>
              </w:rPr>
              <w:t>物質とエネルギーの分野において、複数の物を扱うことで考え方の多様性を広げながら一般化させていくつくりになっている。実験道具の示</w:t>
            </w:r>
            <w:r w:rsidRPr="0027556B">
              <w:rPr>
                <w:rFonts w:ascii="ＭＳ 明朝" w:eastAsia="ＭＳ 明朝" w:hAnsi="ＭＳ 明朝" w:hint="eastAsia"/>
              </w:rPr>
              <w:t>し方などが限定的でなく、児童の実態に合わせて授業づくりがしやすいよう工夫されている他、ＱＲコードで掲載されている内容も答えだ</w:t>
            </w:r>
            <w:r>
              <w:rPr>
                <w:rFonts w:ascii="ＭＳ 明朝" w:eastAsia="ＭＳ 明朝" w:hAnsi="ＭＳ 明朝" w:hint="eastAsia"/>
              </w:rPr>
              <w:t>けを示さずに調べられるようになっていて、考えながら学習しやすい編集である。</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t>生活</w:t>
            </w:r>
          </w:p>
        </w:tc>
        <w:tc>
          <w:tcPr>
            <w:tcW w:w="1559" w:type="dxa"/>
          </w:tcPr>
          <w:p w:rsidR="00983B55" w:rsidRDefault="00983B55" w:rsidP="00983B55">
            <w:pPr>
              <w:jc w:val="left"/>
            </w:pPr>
            <w:r w:rsidRPr="006C1939">
              <w:rPr>
                <w:rFonts w:ascii="ＭＳ ゴシック" w:eastAsia="ＭＳ ゴシック" w:hAnsi="ＭＳ ゴシック" w:hint="eastAsia"/>
              </w:rPr>
              <w:t>啓林館</w:t>
            </w:r>
          </w:p>
        </w:tc>
        <w:tc>
          <w:tcPr>
            <w:tcW w:w="7478" w:type="dxa"/>
          </w:tcPr>
          <w:p w:rsidR="00983B55" w:rsidRPr="00BD195A" w:rsidRDefault="00983B55" w:rsidP="00983B55">
            <w:pPr>
              <w:rPr>
                <w:rFonts w:ascii="ＭＳ 明朝" w:eastAsia="ＭＳ 明朝" w:hAnsi="ＭＳ 明朝"/>
              </w:rPr>
            </w:pPr>
            <w:r w:rsidRPr="007D5001">
              <w:rPr>
                <w:rFonts w:ascii="ＭＳ 明朝" w:eastAsia="ＭＳ 明朝" w:hAnsi="ＭＳ 明朝" w:hint="eastAsia"/>
                <w:color w:val="FF0000"/>
              </w:rPr>
              <w:t xml:space="preserve">　</w:t>
            </w:r>
            <w:r w:rsidRPr="007D5001">
              <w:rPr>
                <w:rFonts w:ascii="ＭＳ 明朝" w:eastAsia="ＭＳ 明朝" w:hAnsi="ＭＳ 明朝" w:hint="eastAsia"/>
              </w:rPr>
              <w:t>がっこ</w:t>
            </w:r>
            <w:r w:rsidRPr="00BD195A">
              <w:rPr>
                <w:rFonts w:ascii="ＭＳ 明朝" w:eastAsia="ＭＳ 明朝" w:hAnsi="ＭＳ 明朝" w:hint="eastAsia"/>
              </w:rPr>
              <w:t>うたんけんでは、そこで働く人たちの様子に着目させ、子どもたち自身と周囲の人々との社会的な関わりについて関心をもてるように工夫されている。</w:t>
            </w:r>
          </w:p>
          <w:p w:rsidR="00983B55" w:rsidRPr="00983B55" w:rsidRDefault="00983B55" w:rsidP="00983B55">
            <w:pPr>
              <w:rPr>
                <w:rFonts w:ascii="ＭＳ 明朝" w:eastAsia="ＭＳ 明朝" w:hAnsi="ＭＳ 明朝"/>
              </w:rPr>
            </w:pPr>
            <w:r w:rsidRPr="00BD195A">
              <w:rPr>
                <w:rFonts w:ascii="ＭＳ 明朝" w:eastAsia="ＭＳ 明朝" w:hAnsi="ＭＳ 明朝" w:hint="eastAsia"/>
              </w:rPr>
              <w:t xml:space="preserve">　いきものについては、植物を中心に図鑑のように多種類が紹介されており、それぞれを比較しながら特徴や違いに関心を持って学ぶことができるように工夫されている。</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t>音楽</w:t>
            </w:r>
          </w:p>
        </w:tc>
        <w:tc>
          <w:tcPr>
            <w:tcW w:w="1559" w:type="dxa"/>
          </w:tcPr>
          <w:p w:rsidR="00983B55" w:rsidRDefault="00983B55" w:rsidP="00983B55">
            <w:pPr>
              <w:jc w:val="left"/>
            </w:pPr>
            <w:r w:rsidRPr="006C1939">
              <w:rPr>
                <w:rFonts w:ascii="ＭＳ ゴシック" w:eastAsia="ＭＳ ゴシック" w:hAnsi="ＭＳ ゴシック" w:hint="eastAsia"/>
              </w:rPr>
              <w:t>教育出版</w:t>
            </w:r>
          </w:p>
        </w:tc>
        <w:tc>
          <w:tcPr>
            <w:tcW w:w="7478" w:type="dxa"/>
          </w:tcPr>
          <w:p w:rsidR="00983B55" w:rsidRDefault="00983B55" w:rsidP="00983B55">
            <w:pPr>
              <w:jc w:val="left"/>
            </w:pPr>
            <w:r>
              <w:rPr>
                <w:rFonts w:ascii="ＭＳ 明朝" w:eastAsia="ＭＳ 明朝" w:hAnsi="ＭＳ 明朝" w:hint="eastAsia"/>
              </w:rPr>
              <w:t>優れた題材が多く収録されており、情報量がしぼられているため児童にとって見やすい。また、児童が感じたことや考えたことを大事にして授業がすすめやすいようにページがつくられている。</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t>図画工作</w:t>
            </w:r>
          </w:p>
        </w:tc>
        <w:tc>
          <w:tcPr>
            <w:tcW w:w="1559" w:type="dxa"/>
          </w:tcPr>
          <w:p w:rsidR="00983B55" w:rsidRDefault="00983B55" w:rsidP="00983B55">
            <w:pPr>
              <w:jc w:val="left"/>
            </w:pPr>
            <w:r w:rsidRPr="006C1939">
              <w:rPr>
                <w:rFonts w:ascii="ＭＳ ゴシック" w:eastAsia="ＭＳ ゴシック" w:hAnsi="ＭＳ ゴシック" w:hint="eastAsia"/>
              </w:rPr>
              <w:t>日本文教出版</w:t>
            </w:r>
          </w:p>
        </w:tc>
        <w:tc>
          <w:tcPr>
            <w:tcW w:w="7478" w:type="dxa"/>
          </w:tcPr>
          <w:p w:rsidR="00983B55" w:rsidRDefault="00983B55" w:rsidP="00983B55">
            <w:pPr>
              <w:jc w:val="left"/>
            </w:pPr>
            <w:r>
              <w:rPr>
                <w:rFonts w:ascii="ＭＳ 明朝" w:eastAsia="ＭＳ 明朝" w:hAnsi="ＭＳ 明朝" w:hint="eastAsia"/>
              </w:rPr>
              <w:t>児童のくらしにつながる題材が多く、写真や文字がすっきりと見やすく配置されている。問いかけが多様な感じ方を認めるような文言になっている。</w:t>
            </w:r>
          </w:p>
        </w:tc>
      </w:tr>
      <w:tr w:rsidR="00983B55" w:rsidTr="00983B55">
        <w:tc>
          <w:tcPr>
            <w:tcW w:w="817" w:type="dxa"/>
          </w:tcPr>
          <w:p w:rsidR="00983B55" w:rsidRDefault="00983B55" w:rsidP="00983B55">
            <w:pPr>
              <w:jc w:val="left"/>
            </w:pPr>
            <w:r w:rsidRPr="006C1939">
              <w:rPr>
                <w:rFonts w:ascii="ＭＳ ゴシック" w:eastAsia="ＭＳ ゴシック" w:hAnsi="ＭＳ ゴシック" w:hint="eastAsia"/>
              </w:rPr>
              <w:lastRenderedPageBreak/>
              <w:t>家庭</w:t>
            </w:r>
          </w:p>
        </w:tc>
        <w:tc>
          <w:tcPr>
            <w:tcW w:w="1559" w:type="dxa"/>
          </w:tcPr>
          <w:p w:rsidR="00983B55" w:rsidRDefault="00983B55" w:rsidP="00983B55">
            <w:pPr>
              <w:jc w:val="left"/>
            </w:pPr>
            <w:r w:rsidRPr="006C1939">
              <w:rPr>
                <w:rFonts w:ascii="ＭＳ ゴシック" w:eastAsia="ＭＳ ゴシック" w:hAnsi="ＭＳ ゴシック" w:hint="eastAsia"/>
              </w:rPr>
              <w:t>東京書籍</w:t>
            </w:r>
          </w:p>
        </w:tc>
        <w:tc>
          <w:tcPr>
            <w:tcW w:w="7478" w:type="dxa"/>
          </w:tcPr>
          <w:p w:rsidR="00983B55" w:rsidRDefault="00983B55" w:rsidP="00983B55">
            <w:pPr>
              <w:jc w:val="left"/>
            </w:pPr>
            <w:r>
              <w:rPr>
                <w:rFonts w:ascii="ＭＳ 明朝" w:eastAsia="ＭＳ 明朝" w:hAnsi="ＭＳ 明朝" w:hint="eastAsia"/>
              </w:rPr>
              <w:t>本文や資料が児童のくらしや学びにかかわるものである。考えながら学ぶことができる図が多く、ＱＲコードによる動画資料もわかりやすい。調理実習の手順においては、記述をしぼることによっ</w:t>
            </w:r>
            <w:r w:rsidRPr="0027556B">
              <w:rPr>
                <w:rFonts w:ascii="ＭＳ 明朝" w:eastAsia="ＭＳ 明朝" w:hAnsi="ＭＳ 明朝" w:hint="eastAsia"/>
              </w:rPr>
              <w:t>て児童</w:t>
            </w:r>
            <w:r>
              <w:rPr>
                <w:rFonts w:ascii="ＭＳ 明朝" w:eastAsia="ＭＳ 明朝" w:hAnsi="ＭＳ 明朝" w:hint="eastAsia"/>
              </w:rPr>
              <w:t>が考えながらとりくめる編集になっている。</w:t>
            </w:r>
          </w:p>
        </w:tc>
      </w:tr>
      <w:tr w:rsidR="00983B55" w:rsidTr="00983B55">
        <w:tc>
          <w:tcPr>
            <w:tcW w:w="817" w:type="dxa"/>
          </w:tcPr>
          <w:p w:rsidR="00983B55" w:rsidRDefault="00144A58" w:rsidP="00983B55">
            <w:pPr>
              <w:jc w:val="left"/>
            </w:pPr>
            <w:r w:rsidRPr="006C1939">
              <w:rPr>
                <w:rFonts w:ascii="ＭＳ ゴシック" w:eastAsia="ＭＳ ゴシック" w:hAnsi="ＭＳ ゴシック" w:hint="eastAsia"/>
              </w:rPr>
              <w:t>保健</w:t>
            </w:r>
          </w:p>
        </w:tc>
        <w:tc>
          <w:tcPr>
            <w:tcW w:w="1559" w:type="dxa"/>
          </w:tcPr>
          <w:p w:rsidR="00983B55" w:rsidRDefault="00144A58" w:rsidP="00983B55">
            <w:pPr>
              <w:jc w:val="left"/>
            </w:pPr>
            <w:r w:rsidRPr="006C1939">
              <w:rPr>
                <w:rFonts w:ascii="ＭＳ ゴシック" w:eastAsia="ＭＳ ゴシック" w:hAnsi="ＭＳ ゴシック" w:hint="eastAsia"/>
              </w:rPr>
              <w:t>東京書籍</w:t>
            </w:r>
          </w:p>
        </w:tc>
        <w:tc>
          <w:tcPr>
            <w:tcW w:w="7478" w:type="dxa"/>
          </w:tcPr>
          <w:p w:rsidR="00983B55" w:rsidRDefault="00144A58" w:rsidP="00983B55">
            <w:pPr>
              <w:jc w:val="left"/>
            </w:pPr>
            <w:r>
              <w:rPr>
                <w:rFonts w:ascii="ＭＳ 明朝" w:eastAsia="ＭＳ 明朝" w:hAnsi="ＭＳ 明朝" w:hint="eastAsia"/>
              </w:rPr>
              <w:t>グラフ等の資料が児童の実態や学校生活に則しており、グラフ等の科学的データが豊富である。シンプルなイラストと資料がバランスよく整理されており、理解しやすい。ＱＲコードで読み取る資料においては、「体の成長」で初経と精通両方をとりあげていること、「病気の予防」では感染症について詳細に見ることができることなど、くらしにつなげて学びやすい構成である。</w:t>
            </w:r>
          </w:p>
        </w:tc>
      </w:tr>
      <w:tr w:rsidR="00144A58" w:rsidTr="00983B55">
        <w:tc>
          <w:tcPr>
            <w:tcW w:w="817" w:type="dxa"/>
          </w:tcPr>
          <w:p w:rsidR="00144A58" w:rsidRDefault="00144A58" w:rsidP="00983B55">
            <w:pPr>
              <w:jc w:val="left"/>
            </w:pPr>
            <w:r w:rsidRPr="006C1939">
              <w:rPr>
                <w:rFonts w:ascii="ＭＳ ゴシック" w:eastAsia="ＭＳ ゴシック" w:hAnsi="ＭＳ ゴシック" w:hint="eastAsia"/>
              </w:rPr>
              <w:t>外国語</w:t>
            </w:r>
          </w:p>
        </w:tc>
        <w:tc>
          <w:tcPr>
            <w:tcW w:w="1559" w:type="dxa"/>
          </w:tcPr>
          <w:p w:rsidR="00144A58" w:rsidRDefault="00144A58" w:rsidP="00983B55">
            <w:pPr>
              <w:jc w:val="left"/>
            </w:pPr>
            <w:r w:rsidRPr="006C1939">
              <w:rPr>
                <w:rFonts w:ascii="ＭＳ ゴシック" w:eastAsia="ＭＳ ゴシック" w:hAnsi="ＭＳ ゴシック" w:hint="eastAsia"/>
              </w:rPr>
              <w:t>三省堂</w:t>
            </w:r>
          </w:p>
        </w:tc>
        <w:tc>
          <w:tcPr>
            <w:tcW w:w="7478" w:type="dxa"/>
          </w:tcPr>
          <w:p w:rsidR="00144A58" w:rsidRDefault="00144A58" w:rsidP="00983B55">
            <w:pPr>
              <w:jc w:val="left"/>
            </w:pPr>
            <w:r>
              <w:rPr>
                <w:rFonts w:ascii="ＭＳ 明朝" w:eastAsia="ＭＳ 明朝" w:hAnsi="ＭＳ 明朝" w:hint="eastAsia"/>
              </w:rPr>
              <w:t>巻頭には１１の言語で「こんにちは」が載せられており、英語を含めた多言語としての「外国語」であることが視覚的にわかる導入になっている。興味や理解に合わせて考えやすく、外来語としてわかっているものも含め知っている単語から英語で話すことに進めるつくりになっているため、入門期に英語への抵抗感を少なくできる。</w:t>
            </w:r>
          </w:p>
        </w:tc>
      </w:tr>
      <w:tr w:rsidR="00144A58" w:rsidTr="00983B55">
        <w:tc>
          <w:tcPr>
            <w:tcW w:w="817" w:type="dxa"/>
          </w:tcPr>
          <w:p w:rsidR="00144A58" w:rsidRDefault="00144A58" w:rsidP="00983B55">
            <w:pPr>
              <w:jc w:val="left"/>
            </w:pPr>
            <w:r w:rsidRPr="006C1939">
              <w:rPr>
                <w:rFonts w:ascii="ＭＳ ゴシック" w:eastAsia="ＭＳ ゴシック" w:hAnsi="ＭＳ ゴシック" w:hint="eastAsia"/>
              </w:rPr>
              <w:t>道徳</w:t>
            </w:r>
          </w:p>
        </w:tc>
        <w:tc>
          <w:tcPr>
            <w:tcW w:w="1559" w:type="dxa"/>
          </w:tcPr>
          <w:p w:rsidR="00144A58" w:rsidRDefault="00144A58" w:rsidP="00983B55">
            <w:pPr>
              <w:jc w:val="left"/>
            </w:pPr>
            <w:r w:rsidRPr="006C1939">
              <w:rPr>
                <w:rFonts w:ascii="ＭＳ ゴシック" w:eastAsia="ＭＳ ゴシック" w:hAnsi="ＭＳ ゴシック" w:hint="eastAsia"/>
              </w:rPr>
              <w:t>光村図書</w:t>
            </w:r>
          </w:p>
        </w:tc>
        <w:tc>
          <w:tcPr>
            <w:tcW w:w="7478" w:type="dxa"/>
          </w:tcPr>
          <w:p w:rsidR="00144A58" w:rsidRPr="009F4AAD" w:rsidRDefault="00144A58" w:rsidP="009F4AAD">
            <w:pPr>
              <w:rPr>
                <w:rFonts w:ascii="ＭＳ 明朝" w:eastAsia="ＭＳ 明朝" w:hAnsi="ＭＳ 明朝"/>
              </w:rPr>
            </w:pPr>
            <w:r>
              <w:rPr>
                <w:rFonts w:ascii="ＭＳ 明朝" w:eastAsia="ＭＳ 明朝" w:hAnsi="ＭＳ 明朝" w:hint="eastAsia"/>
              </w:rPr>
              <w:t>低学年では絵から考えさせる題材が多く、発問も工夫されており、児童の考えを多様に広げることができる。世界人権宣言など「自由権」を扱った教材があり、読んで考えるきっかけにできる教材が豊富である。</w:t>
            </w:r>
          </w:p>
        </w:tc>
      </w:tr>
    </w:tbl>
    <w:p w:rsidR="00983B55" w:rsidRDefault="00983B55" w:rsidP="00983B55">
      <w:pPr>
        <w:jc w:val="left"/>
      </w:pPr>
    </w:p>
    <w:p w:rsidR="001E0FE0" w:rsidRPr="001E0FE0" w:rsidRDefault="001E0FE0" w:rsidP="009E63FB">
      <w:pPr>
        <w:rPr>
          <w:rFonts w:ascii="ＭＳ 明朝" w:eastAsia="ＭＳ 明朝" w:hAnsi="ＭＳ 明朝"/>
        </w:rPr>
      </w:pPr>
    </w:p>
    <w:p w:rsidR="009E63FB" w:rsidRDefault="009E63FB" w:rsidP="009E63FB">
      <w:pPr>
        <w:pStyle w:val="a5"/>
      </w:pPr>
    </w:p>
    <w:p w:rsidR="009E63FB" w:rsidRPr="009E63FB" w:rsidRDefault="009E63FB" w:rsidP="009E63FB"/>
    <w:sectPr w:rsidR="009E63FB" w:rsidRPr="009E63FB" w:rsidSect="009F4AAD">
      <w:pgSz w:w="11906" w:h="16838" w:code="9"/>
      <w:pgMar w:top="1134" w:right="1134" w:bottom="1134" w:left="1134" w:header="851" w:footer="992" w:gutter="0"/>
      <w:cols w:space="425"/>
      <w:docGrid w:type="lines" w:linePitch="37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74FE" w:rsidRDefault="001674FE" w:rsidP="009F4AAD">
      <w:r>
        <w:separator/>
      </w:r>
    </w:p>
  </w:endnote>
  <w:endnote w:type="continuationSeparator" w:id="0">
    <w:p w:rsidR="001674FE" w:rsidRDefault="001674FE" w:rsidP="009F4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74FE" w:rsidRDefault="001674FE" w:rsidP="009F4AAD">
      <w:r>
        <w:separator/>
      </w:r>
    </w:p>
  </w:footnote>
  <w:footnote w:type="continuationSeparator" w:id="0">
    <w:p w:rsidR="001674FE" w:rsidRDefault="001674FE" w:rsidP="009F4A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7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D0D"/>
    <w:rsid w:val="00060A8D"/>
    <w:rsid w:val="000F5741"/>
    <w:rsid w:val="00144A58"/>
    <w:rsid w:val="00151D0D"/>
    <w:rsid w:val="001674FE"/>
    <w:rsid w:val="00190CF8"/>
    <w:rsid w:val="001E0FE0"/>
    <w:rsid w:val="001F4DEE"/>
    <w:rsid w:val="002627DC"/>
    <w:rsid w:val="0027556B"/>
    <w:rsid w:val="002B1602"/>
    <w:rsid w:val="0036209A"/>
    <w:rsid w:val="003848E8"/>
    <w:rsid w:val="003C4975"/>
    <w:rsid w:val="00512CC6"/>
    <w:rsid w:val="006C1939"/>
    <w:rsid w:val="006C4A07"/>
    <w:rsid w:val="00705456"/>
    <w:rsid w:val="00783715"/>
    <w:rsid w:val="007D5001"/>
    <w:rsid w:val="00963BA1"/>
    <w:rsid w:val="00983B55"/>
    <w:rsid w:val="009E63FB"/>
    <w:rsid w:val="009F4AAD"/>
    <w:rsid w:val="00A548C2"/>
    <w:rsid w:val="00A64689"/>
    <w:rsid w:val="00BD195A"/>
    <w:rsid w:val="00C567F9"/>
    <w:rsid w:val="00D1161C"/>
    <w:rsid w:val="00D766B4"/>
    <w:rsid w:val="00DF046C"/>
    <w:rsid w:val="00F054DD"/>
    <w:rsid w:val="00F24149"/>
    <w:rsid w:val="00FC76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3DAECC8"/>
  <w15:docId w15:val="{D36F1971-5107-46D9-AF7A-EB8E9F30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E63FB"/>
    <w:pPr>
      <w:jc w:val="center"/>
    </w:pPr>
    <w:rPr>
      <w:rFonts w:ascii="ＭＳ 明朝" w:eastAsia="ＭＳ 明朝" w:hAnsi="ＭＳ 明朝"/>
    </w:rPr>
  </w:style>
  <w:style w:type="character" w:customStyle="1" w:styleId="a4">
    <w:name w:val="記 (文字)"/>
    <w:basedOn w:val="a0"/>
    <w:link w:val="a3"/>
    <w:uiPriority w:val="99"/>
    <w:rsid w:val="009E63FB"/>
    <w:rPr>
      <w:rFonts w:ascii="ＭＳ 明朝" w:eastAsia="ＭＳ 明朝" w:hAnsi="ＭＳ 明朝"/>
    </w:rPr>
  </w:style>
  <w:style w:type="paragraph" w:styleId="a5">
    <w:name w:val="Closing"/>
    <w:basedOn w:val="a"/>
    <w:link w:val="a6"/>
    <w:uiPriority w:val="99"/>
    <w:unhideWhenUsed/>
    <w:rsid w:val="009E63FB"/>
    <w:pPr>
      <w:jc w:val="right"/>
    </w:pPr>
    <w:rPr>
      <w:rFonts w:ascii="ＭＳ 明朝" w:eastAsia="ＭＳ 明朝" w:hAnsi="ＭＳ 明朝"/>
    </w:rPr>
  </w:style>
  <w:style w:type="character" w:customStyle="1" w:styleId="a6">
    <w:name w:val="結語 (文字)"/>
    <w:basedOn w:val="a0"/>
    <w:link w:val="a5"/>
    <w:uiPriority w:val="99"/>
    <w:rsid w:val="009E63FB"/>
    <w:rPr>
      <w:rFonts w:ascii="ＭＳ 明朝" w:eastAsia="ＭＳ 明朝" w:hAnsi="ＭＳ 明朝"/>
    </w:rPr>
  </w:style>
  <w:style w:type="table" w:styleId="a7">
    <w:name w:val="Table Grid"/>
    <w:basedOn w:val="a1"/>
    <w:uiPriority w:val="39"/>
    <w:rsid w:val="00983B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9F4AAD"/>
    <w:pPr>
      <w:tabs>
        <w:tab w:val="center" w:pos="4252"/>
        <w:tab w:val="right" w:pos="8504"/>
      </w:tabs>
      <w:snapToGrid w:val="0"/>
    </w:pPr>
  </w:style>
  <w:style w:type="character" w:customStyle="1" w:styleId="a9">
    <w:name w:val="ヘッダー (文字)"/>
    <w:basedOn w:val="a0"/>
    <w:link w:val="a8"/>
    <w:uiPriority w:val="99"/>
    <w:rsid w:val="009F4AAD"/>
  </w:style>
  <w:style w:type="paragraph" w:styleId="aa">
    <w:name w:val="footer"/>
    <w:basedOn w:val="a"/>
    <w:link w:val="ab"/>
    <w:uiPriority w:val="99"/>
    <w:unhideWhenUsed/>
    <w:rsid w:val="009F4AAD"/>
    <w:pPr>
      <w:tabs>
        <w:tab w:val="center" w:pos="4252"/>
        <w:tab w:val="right" w:pos="8504"/>
      </w:tabs>
      <w:snapToGrid w:val="0"/>
    </w:pPr>
  </w:style>
  <w:style w:type="character" w:customStyle="1" w:styleId="ab">
    <w:name w:val="フッター (文字)"/>
    <w:basedOn w:val="a0"/>
    <w:link w:val="aa"/>
    <w:uiPriority w:val="99"/>
    <w:rsid w:val="009F4AAD"/>
  </w:style>
  <w:style w:type="paragraph" w:styleId="ac">
    <w:name w:val="Balloon Text"/>
    <w:basedOn w:val="a"/>
    <w:link w:val="ad"/>
    <w:uiPriority w:val="99"/>
    <w:semiHidden/>
    <w:unhideWhenUsed/>
    <w:rsid w:val="006C4A0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6C4A0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Pages>
  <Words>255</Words>
  <Characters>1456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小野はぎ</dc:creator>
  <cp:keywords/>
  <dc:description/>
  <cp:lastModifiedBy>小野はぎ</cp:lastModifiedBy>
  <cp:revision>14</cp:revision>
  <cp:lastPrinted>2023-09-26T23:11:00Z</cp:lastPrinted>
  <dcterms:created xsi:type="dcterms:W3CDTF">2023-07-31T02:07:00Z</dcterms:created>
  <dcterms:modified xsi:type="dcterms:W3CDTF">2023-09-26T23:28:00Z</dcterms:modified>
</cp:coreProperties>
</file>